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26AEA" w14:textId="2080640A" w:rsidR="00715972" w:rsidRDefault="004D44F9">
      <w:r>
        <w:t>English and Maths teaching days 202</w:t>
      </w:r>
      <w:r w:rsidR="00A2710D">
        <w:t>5-26</w:t>
      </w: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560"/>
        <w:gridCol w:w="2702"/>
        <w:gridCol w:w="1546"/>
        <w:gridCol w:w="4682"/>
      </w:tblGrid>
      <w:tr w:rsidR="00283F93" w14:paraId="37356728" w14:textId="77777777" w:rsidTr="00CD5E68">
        <w:tc>
          <w:tcPr>
            <w:tcW w:w="1560" w:type="dxa"/>
            <w:vMerge w:val="restart"/>
            <w:shd w:val="clear" w:color="auto" w:fill="BDD6EE" w:themeFill="accent1" w:themeFillTint="66"/>
          </w:tcPr>
          <w:p w14:paraId="158C6D4D" w14:textId="77777777" w:rsidR="00283F93" w:rsidRDefault="00283F93">
            <w:r>
              <w:t>Phase 1</w:t>
            </w:r>
          </w:p>
        </w:tc>
        <w:tc>
          <w:tcPr>
            <w:tcW w:w="2702" w:type="dxa"/>
            <w:shd w:val="clear" w:color="auto" w:fill="BDD6EE" w:themeFill="accent1" w:themeFillTint="66"/>
          </w:tcPr>
          <w:p w14:paraId="4749D1BA" w14:textId="1D66AC40" w:rsidR="00283F93" w:rsidRDefault="00283F93">
            <w:r>
              <w:t>Tuesday</w:t>
            </w:r>
            <w:r w:rsidR="00544CC8">
              <w:t xml:space="preserve"> </w:t>
            </w:r>
            <w:r w:rsidR="00A2710D">
              <w:t>16th</w:t>
            </w:r>
            <w:r w:rsidR="00CD5E68">
              <w:t xml:space="preserve"> </w:t>
            </w:r>
            <w:r w:rsidR="00BB0852">
              <w:t>September</w:t>
            </w:r>
          </w:p>
        </w:tc>
        <w:tc>
          <w:tcPr>
            <w:tcW w:w="1546" w:type="dxa"/>
            <w:vMerge w:val="restart"/>
            <w:shd w:val="clear" w:color="auto" w:fill="BDD6EE" w:themeFill="accent1" w:themeFillTint="66"/>
          </w:tcPr>
          <w:p w14:paraId="75FFB398" w14:textId="439FAEDF" w:rsidR="00283F93" w:rsidRDefault="00944166">
            <w:r w:rsidRPr="00A00D4B">
              <w:rPr>
                <w:color w:val="FF0000"/>
              </w:rPr>
              <w:t>(Asynchronous audits – Grammar &amp; Spelling)</w:t>
            </w:r>
          </w:p>
        </w:tc>
        <w:tc>
          <w:tcPr>
            <w:tcW w:w="4682" w:type="dxa"/>
            <w:shd w:val="clear" w:color="auto" w:fill="BDD6EE" w:themeFill="accent1" w:themeFillTint="66"/>
          </w:tcPr>
          <w:p w14:paraId="6D99C50D" w14:textId="488B57B0" w:rsidR="00283F93" w:rsidRDefault="00C66D7F" w:rsidP="00C66D7F">
            <w:pPr>
              <w:pStyle w:val="ListParagraph"/>
              <w:numPr>
                <w:ilvl w:val="0"/>
                <w:numId w:val="5"/>
              </w:numPr>
            </w:pPr>
            <w:r>
              <w:t>C</w:t>
            </w:r>
            <w:r w:rsidR="00102EE6">
              <w:t>ourse intro; the primacy of reading; ‘</w:t>
            </w:r>
            <w:r>
              <w:t>Teachers as Readers</w:t>
            </w:r>
            <w:r w:rsidR="00102EE6">
              <w:t>’ and reading for pleasure</w:t>
            </w:r>
          </w:p>
          <w:p w14:paraId="3F298739" w14:textId="19249646" w:rsidR="00283F93" w:rsidRPr="00291702" w:rsidRDefault="00544CC8" w:rsidP="00291702">
            <w:pPr>
              <w:pStyle w:val="ListParagraph"/>
              <w:numPr>
                <w:ilvl w:val="0"/>
                <w:numId w:val="5"/>
              </w:numPr>
            </w:pPr>
            <w:r>
              <w:t xml:space="preserve">Oracy – how speaking and listening </w:t>
            </w:r>
            <w:r w:rsidR="00102EE6">
              <w:t>underpins all other areas, teacher modelling, sentence stems and vocabulary development</w:t>
            </w:r>
          </w:p>
        </w:tc>
      </w:tr>
      <w:tr w:rsidR="00283F93" w14:paraId="25549B9F" w14:textId="77777777" w:rsidTr="00CD5E68">
        <w:tc>
          <w:tcPr>
            <w:tcW w:w="1560" w:type="dxa"/>
            <w:vMerge/>
            <w:shd w:val="clear" w:color="auto" w:fill="BDD6EE" w:themeFill="accent1" w:themeFillTint="66"/>
          </w:tcPr>
          <w:p w14:paraId="16C32E05" w14:textId="77777777" w:rsidR="00283F93" w:rsidRDefault="00283F93"/>
        </w:tc>
        <w:tc>
          <w:tcPr>
            <w:tcW w:w="2702" w:type="dxa"/>
            <w:shd w:val="clear" w:color="auto" w:fill="BDD6EE" w:themeFill="accent1" w:themeFillTint="66"/>
          </w:tcPr>
          <w:p w14:paraId="58C92A0A" w14:textId="03167914" w:rsidR="00283F93" w:rsidRDefault="00BB0852">
            <w:r>
              <w:t>T</w:t>
            </w:r>
            <w:r w:rsidR="00A2710D">
              <w:t>hursday 18</w:t>
            </w:r>
            <w:r w:rsidRPr="00BB0852">
              <w:rPr>
                <w:vertAlign w:val="superscript"/>
              </w:rPr>
              <w:t>th</w:t>
            </w:r>
            <w:r>
              <w:t xml:space="preserve"> September</w:t>
            </w:r>
          </w:p>
        </w:tc>
        <w:tc>
          <w:tcPr>
            <w:tcW w:w="1546" w:type="dxa"/>
            <w:vMerge/>
            <w:shd w:val="clear" w:color="auto" w:fill="BDD6EE" w:themeFill="accent1" w:themeFillTint="66"/>
          </w:tcPr>
          <w:p w14:paraId="385EB2A0" w14:textId="77777777" w:rsidR="00283F93" w:rsidRDefault="00283F93"/>
        </w:tc>
        <w:tc>
          <w:tcPr>
            <w:tcW w:w="4682" w:type="dxa"/>
            <w:shd w:val="clear" w:color="auto" w:fill="BDD6EE" w:themeFill="accent1" w:themeFillTint="66"/>
          </w:tcPr>
          <w:p w14:paraId="6829C417" w14:textId="3BDEFCED" w:rsidR="00283F93" w:rsidRDefault="00291702" w:rsidP="00A00D4B">
            <w:pPr>
              <w:pStyle w:val="ListParagraph"/>
              <w:numPr>
                <w:ilvl w:val="0"/>
                <w:numId w:val="5"/>
              </w:numPr>
            </w:pPr>
            <w:r>
              <w:t>Transcription skills 1 – teaching and modelling handwriting</w:t>
            </w:r>
          </w:p>
        </w:tc>
      </w:tr>
      <w:tr w:rsidR="00BB0852" w14:paraId="50EB030D" w14:textId="77777777" w:rsidTr="00CD5E68">
        <w:tc>
          <w:tcPr>
            <w:tcW w:w="1560" w:type="dxa"/>
            <w:vMerge/>
            <w:shd w:val="clear" w:color="auto" w:fill="BDD6EE" w:themeFill="accent1" w:themeFillTint="66"/>
          </w:tcPr>
          <w:p w14:paraId="39E2E081" w14:textId="77777777" w:rsidR="00BB0852" w:rsidRDefault="00BB0852"/>
        </w:tc>
        <w:tc>
          <w:tcPr>
            <w:tcW w:w="2702" w:type="dxa"/>
            <w:shd w:val="clear" w:color="auto" w:fill="BDD6EE" w:themeFill="accent1" w:themeFillTint="66"/>
          </w:tcPr>
          <w:p w14:paraId="4FCB821D" w14:textId="5256CBD1" w:rsidR="00BB0852" w:rsidRDefault="00A2710D">
            <w:r>
              <w:t>Monday 29</w:t>
            </w:r>
            <w:r w:rsidRPr="00A2710D">
              <w:rPr>
                <w:vertAlign w:val="superscript"/>
              </w:rPr>
              <w:t>th</w:t>
            </w:r>
            <w:r>
              <w:t xml:space="preserve"> </w:t>
            </w:r>
            <w:r w:rsidR="00BB0852">
              <w:t>September</w:t>
            </w:r>
          </w:p>
        </w:tc>
        <w:tc>
          <w:tcPr>
            <w:tcW w:w="1546" w:type="dxa"/>
            <w:shd w:val="clear" w:color="auto" w:fill="BDD6EE" w:themeFill="accent1" w:themeFillTint="66"/>
          </w:tcPr>
          <w:p w14:paraId="27E8B206" w14:textId="77777777" w:rsidR="00BB0852" w:rsidRDefault="00BB0852" w:rsidP="00BB0852">
            <w:pPr>
              <w:pStyle w:val="ListParagraph"/>
            </w:pPr>
          </w:p>
        </w:tc>
        <w:tc>
          <w:tcPr>
            <w:tcW w:w="4682" w:type="dxa"/>
            <w:shd w:val="clear" w:color="auto" w:fill="BDD6EE" w:themeFill="accent1" w:themeFillTint="66"/>
          </w:tcPr>
          <w:p w14:paraId="6318FE92" w14:textId="419811D5" w:rsidR="00544CC8" w:rsidRDefault="00A00D4B" w:rsidP="00291702">
            <w:pPr>
              <w:pStyle w:val="ListParagraph"/>
              <w:numPr>
                <w:ilvl w:val="0"/>
                <w:numId w:val="5"/>
              </w:numPr>
            </w:pPr>
            <w:r>
              <w:t xml:space="preserve">Phonics and Early Reading 1 – how we learn to read, the </w:t>
            </w:r>
            <w:proofErr w:type="spellStart"/>
            <w:r>
              <w:t>SVoR</w:t>
            </w:r>
            <w:proofErr w:type="spellEnd"/>
            <w:r>
              <w:t xml:space="preserve"> and the English alphabetic code.  Prep for ITP</w:t>
            </w:r>
          </w:p>
        </w:tc>
      </w:tr>
      <w:tr w:rsidR="00BB0852" w14:paraId="35BBB2B3" w14:textId="77777777" w:rsidTr="00CD5E68">
        <w:tc>
          <w:tcPr>
            <w:tcW w:w="1560" w:type="dxa"/>
            <w:vMerge/>
            <w:shd w:val="clear" w:color="auto" w:fill="BDD6EE" w:themeFill="accent1" w:themeFillTint="66"/>
          </w:tcPr>
          <w:p w14:paraId="62E0E5A8" w14:textId="77777777" w:rsidR="00BB0852" w:rsidRDefault="00BB0852"/>
        </w:tc>
        <w:tc>
          <w:tcPr>
            <w:tcW w:w="2702" w:type="dxa"/>
            <w:shd w:val="clear" w:color="auto" w:fill="BDD6EE" w:themeFill="accent1" w:themeFillTint="66"/>
          </w:tcPr>
          <w:p w14:paraId="68D7595C" w14:textId="22B04BE8" w:rsidR="00BB0852" w:rsidRDefault="00BB0852">
            <w:r>
              <w:t xml:space="preserve">Tuesday </w:t>
            </w:r>
            <w:r w:rsidR="00A2710D">
              <w:t>30</w:t>
            </w:r>
            <w:r w:rsidRPr="00BB0852">
              <w:rPr>
                <w:vertAlign w:val="superscript"/>
              </w:rPr>
              <w:t>th</w:t>
            </w:r>
            <w:r>
              <w:t xml:space="preserve"> </w:t>
            </w:r>
            <w:r w:rsidR="00A2710D">
              <w:t xml:space="preserve">September </w:t>
            </w:r>
            <w:r>
              <w:t xml:space="preserve">– Thursday </w:t>
            </w:r>
            <w:r w:rsidR="00A2710D">
              <w:t>2</w:t>
            </w:r>
            <w:r w:rsidR="00A2710D" w:rsidRPr="00A2710D">
              <w:rPr>
                <w:vertAlign w:val="superscript"/>
              </w:rPr>
              <w:t>nd</w:t>
            </w:r>
            <w:r w:rsidR="00A2710D">
              <w:t xml:space="preserve"> October</w:t>
            </w:r>
          </w:p>
        </w:tc>
        <w:tc>
          <w:tcPr>
            <w:tcW w:w="1546" w:type="dxa"/>
            <w:shd w:val="clear" w:color="auto" w:fill="BDD6EE" w:themeFill="accent1" w:themeFillTint="66"/>
          </w:tcPr>
          <w:p w14:paraId="04B4D1FE" w14:textId="43A8E85D" w:rsidR="00BB0852" w:rsidRDefault="00BB0852" w:rsidP="00BB0852">
            <w:r>
              <w:t>ITP – Phonics &amp; ER</w:t>
            </w:r>
          </w:p>
        </w:tc>
        <w:tc>
          <w:tcPr>
            <w:tcW w:w="4682" w:type="dxa"/>
            <w:shd w:val="clear" w:color="auto" w:fill="BDD6EE" w:themeFill="accent1" w:themeFillTint="66"/>
          </w:tcPr>
          <w:p w14:paraId="49149598" w14:textId="1E8C56B4" w:rsidR="00BB0852" w:rsidRDefault="00C66D7F" w:rsidP="00C66D7F">
            <w:r>
              <w:t>Tuesday and Thursday will be spent in your P1 school with a full day of sessions at University on the Wednesday</w:t>
            </w:r>
            <w:r w:rsidR="00724206">
              <w:t xml:space="preserve"> – </w:t>
            </w:r>
            <w:r w:rsidR="00291702">
              <w:t>E, F &amp; G</w:t>
            </w:r>
          </w:p>
        </w:tc>
      </w:tr>
      <w:tr w:rsidR="00283F93" w14:paraId="3A000D12" w14:textId="77777777" w:rsidTr="00CD5E68">
        <w:tc>
          <w:tcPr>
            <w:tcW w:w="1560" w:type="dxa"/>
            <w:vMerge/>
            <w:shd w:val="clear" w:color="auto" w:fill="BDD6EE" w:themeFill="accent1" w:themeFillTint="66"/>
          </w:tcPr>
          <w:p w14:paraId="7CC345A1" w14:textId="77777777" w:rsidR="00283F93" w:rsidRDefault="00283F93"/>
        </w:tc>
        <w:tc>
          <w:tcPr>
            <w:tcW w:w="2702" w:type="dxa"/>
            <w:shd w:val="clear" w:color="auto" w:fill="BDD6EE" w:themeFill="accent1" w:themeFillTint="66"/>
          </w:tcPr>
          <w:p w14:paraId="6A533210" w14:textId="6CF68E29" w:rsidR="00283F93" w:rsidRDefault="00A2710D">
            <w:r>
              <w:t>Wednesday 8</w:t>
            </w:r>
            <w:r w:rsidRPr="00A2710D">
              <w:rPr>
                <w:vertAlign w:val="superscript"/>
              </w:rPr>
              <w:t>th</w:t>
            </w:r>
            <w:r>
              <w:t xml:space="preserve"> October</w:t>
            </w:r>
          </w:p>
        </w:tc>
        <w:tc>
          <w:tcPr>
            <w:tcW w:w="1546" w:type="dxa"/>
            <w:vMerge w:val="restart"/>
            <w:shd w:val="clear" w:color="auto" w:fill="BDD6EE" w:themeFill="accent1" w:themeFillTint="66"/>
          </w:tcPr>
          <w:p w14:paraId="14B48454" w14:textId="73F977B0" w:rsidR="00283F93" w:rsidRPr="00944166" w:rsidRDefault="00944166">
            <w:pPr>
              <w:rPr>
                <w:color w:val="FF0000"/>
              </w:rPr>
            </w:pPr>
            <w:r>
              <w:rPr>
                <w:color w:val="FF0000"/>
              </w:rPr>
              <w:t>(Asynchronous audit – phonics pure sounds)</w:t>
            </w:r>
          </w:p>
        </w:tc>
        <w:tc>
          <w:tcPr>
            <w:tcW w:w="4682" w:type="dxa"/>
            <w:shd w:val="clear" w:color="auto" w:fill="BDD6EE" w:themeFill="accent1" w:themeFillTint="66"/>
          </w:tcPr>
          <w:p w14:paraId="2AE994E4" w14:textId="77777777" w:rsidR="00BB0852" w:rsidRDefault="00291702" w:rsidP="00291702">
            <w:pPr>
              <w:pStyle w:val="ListParagraph"/>
              <w:numPr>
                <w:ilvl w:val="0"/>
                <w:numId w:val="13"/>
              </w:numPr>
            </w:pPr>
            <w:r>
              <w:t>Transcription skills 2 – spelling: beyond phonics, orthography, morphology and etymology</w:t>
            </w:r>
          </w:p>
          <w:p w14:paraId="6C454F4C" w14:textId="24AFDE12" w:rsidR="00291702" w:rsidRDefault="00291702" w:rsidP="00291702">
            <w:pPr>
              <w:pStyle w:val="ListParagraph"/>
              <w:numPr>
                <w:ilvl w:val="0"/>
                <w:numId w:val="13"/>
              </w:numPr>
            </w:pPr>
            <w:r>
              <w:t>Grammar – the importance of mastering sentences. Prep for micro-teaching</w:t>
            </w:r>
          </w:p>
        </w:tc>
      </w:tr>
      <w:tr w:rsidR="00283F93" w14:paraId="4A4AF176" w14:textId="77777777" w:rsidTr="00CD5E68">
        <w:tc>
          <w:tcPr>
            <w:tcW w:w="1560" w:type="dxa"/>
            <w:vMerge/>
            <w:shd w:val="clear" w:color="auto" w:fill="BDD6EE" w:themeFill="accent1" w:themeFillTint="66"/>
          </w:tcPr>
          <w:p w14:paraId="2F024C1F" w14:textId="77777777" w:rsidR="00283F93" w:rsidRDefault="00283F93"/>
        </w:tc>
        <w:tc>
          <w:tcPr>
            <w:tcW w:w="2702" w:type="dxa"/>
            <w:shd w:val="clear" w:color="auto" w:fill="BDD6EE" w:themeFill="accent1" w:themeFillTint="66"/>
          </w:tcPr>
          <w:p w14:paraId="062F2046" w14:textId="278A5395" w:rsidR="00283F93" w:rsidRDefault="00A2710D">
            <w:r>
              <w:t>Thursday 9</w:t>
            </w:r>
            <w:r w:rsidRPr="00A2710D">
              <w:rPr>
                <w:vertAlign w:val="superscript"/>
              </w:rPr>
              <w:t>th</w:t>
            </w:r>
            <w:r>
              <w:t xml:space="preserve"> October</w:t>
            </w:r>
          </w:p>
        </w:tc>
        <w:tc>
          <w:tcPr>
            <w:tcW w:w="1546" w:type="dxa"/>
            <w:vMerge/>
            <w:shd w:val="clear" w:color="auto" w:fill="BDD6EE" w:themeFill="accent1" w:themeFillTint="66"/>
          </w:tcPr>
          <w:p w14:paraId="58F5DD31" w14:textId="77777777" w:rsidR="00283F93" w:rsidRDefault="00283F93"/>
        </w:tc>
        <w:tc>
          <w:tcPr>
            <w:tcW w:w="4682" w:type="dxa"/>
            <w:shd w:val="clear" w:color="auto" w:fill="BDD6EE" w:themeFill="accent1" w:themeFillTint="66"/>
          </w:tcPr>
          <w:p w14:paraId="3444B11A" w14:textId="60AC51F9" w:rsidR="00B71234" w:rsidRDefault="00291702" w:rsidP="00291702">
            <w:pPr>
              <w:pStyle w:val="ListParagraph"/>
              <w:numPr>
                <w:ilvl w:val="0"/>
                <w:numId w:val="13"/>
              </w:numPr>
            </w:pPr>
            <w:r>
              <w:t>Teaching and understanding the writing process</w:t>
            </w:r>
          </w:p>
        </w:tc>
      </w:tr>
      <w:tr w:rsidR="00283F93" w14:paraId="64C70134" w14:textId="77777777" w:rsidTr="00CD5E68">
        <w:tc>
          <w:tcPr>
            <w:tcW w:w="1560" w:type="dxa"/>
            <w:vMerge/>
            <w:shd w:val="clear" w:color="auto" w:fill="BDD6EE" w:themeFill="accent1" w:themeFillTint="66"/>
          </w:tcPr>
          <w:p w14:paraId="3297A7DC" w14:textId="77777777" w:rsidR="00283F93" w:rsidRDefault="00283F93"/>
        </w:tc>
        <w:tc>
          <w:tcPr>
            <w:tcW w:w="2702" w:type="dxa"/>
            <w:shd w:val="clear" w:color="auto" w:fill="BDD6EE" w:themeFill="accent1" w:themeFillTint="66"/>
          </w:tcPr>
          <w:p w14:paraId="7F0F8453" w14:textId="03AEC26A" w:rsidR="00283F93" w:rsidRDefault="00A2710D">
            <w:r>
              <w:t>Wednesday 22</w:t>
            </w:r>
            <w:r w:rsidRPr="00A2710D">
              <w:rPr>
                <w:vertAlign w:val="superscript"/>
              </w:rPr>
              <w:t>nd</w:t>
            </w:r>
            <w:r w:rsidR="00CD5E68">
              <w:t xml:space="preserve"> October</w:t>
            </w:r>
          </w:p>
        </w:tc>
        <w:tc>
          <w:tcPr>
            <w:tcW w:w="1546" w:type="dxa"/>
            <w:vMerge/>
            <w:shd w:val="clear" w:color="auto" w:fill="BDD6EE" w:themeFill="accent1" w:themeFillTint="66"/>
          </w:tcPr>
          <w:p w14:paraId="11546974" w14:textId="77777777" w:rsidR="00283F93" w:rsidRDefault="00283F93"/>
        </w:tc>
        <w:tc>
          <w:tcPr>
            <w:tcW w:w="4682" w:type="dxa"/>
            <w:shd w:val="clear" w:color="auto" w:fill="BDD6EE" w:themeFill="accent1" w:themeFillTint="66"/>
          </w:tcPr>
          <w:p w14:paraId="4894ED2D" w14:textId="774E583B" w:rsidR="007A1977" w:rsidRDefault="00291702" w:rsidP="00291702">
            <w:pPr>
              <w:pStyle w:val="ListParagraph"/>
              <w:numPr>
                <w:ilvl w:val="0"/>
                <w:numId w:val="13"/>
              </w:numPr>
            </w:pPr>
            <w:r>
              <w:t>Grammar</w:t>
            </w:r>
            <w:r w:rsidR="002127E9">
              <w:t xml:space="preserve"> – microteaching and feedback</w:t>
            </w:r>
            <w:r>
              <w:t>, modelling writing and the application of grammatical knowledge</w:t>
            </w:r>
          </w:p>
          <w:p w14:paraId="30CA87C3" w14:textId="696E53E2" w:rsidR="00544CC8" w:rsidRDefault="007A1977" w:rsidP="00291702">
            <w:pPr>
              <w:pStyle w:val="ListParagraph"/>
              <w:numPr>
                <w:ilvl w:val="0"/>
                <w:numId w:val="13"/>
              </w:numPr>
            </w:pPr>
            <w:r>
              <w:t>Planning a reading session and assessing reading (Preparation for P1 directed task</w:t>
            </w:r>
          </w:p>
        </w:tc>
      </w:tr>
      <w:tr w:rsidR="00283F93" w14:paraId="4D45C3EF" w14:textId="77777777" w:rsidTr="00CD5E68">
        <w:tc>
          <w:tcPr>
            <w:tcW w:w="1560" w:type="dxa"/>
            <w:shd w:val="clear" w:color="auto" w:fill="F4B083" w:themeFill="accent2" w:themeFillTint="99"/>
          </w:tcPr>
          <w:p w14:paraId="44155463" w14:textId="77777777" w:rsidR="00283F93" w:rsidRDefault="00283F93">
            <w:r>
              <w:t>Phase 2</w:t>
            </w:r>
          </w:p>
        </w:tc>
        <w:tc>
          <w:tcPr>
            <w:tcW w:w="2702" w:type="dxa"/>
            <w:shd w:val="clear" w:color="auto" w:fill="F4B083" w:themeFill="accent2" w:themeFillTint="99"/>
          </w:tcPr>
          <w:p w14:paraId="01532B91" w14:textId="1E611C53" w:rsidR="00283F93" w:rsidRDefault="00CD5E68">
            <w:r>
              <w:t>Wednesday 1</w:t>
            </w:r>
            <w:r w:rsidR="007A1977">
              <w:t>4</w:t>
            </w:r>
            <w:r w:rsidRPr="00CD5E68">
              <w:rPr>
                <w:vertAlign w:val="superscript"/>
              </w:rPr>
              <w:t>th</w:t>
            </w:r>
            <w:r w:rsidR="00C66D7F">
              <w:t xml:space="preserve"> January</w:t>
            </w:r>
          </w:p>
        </w:tc>
        <w:tc>
          <w:tcPr>
            <w:tcW w:w="1546" w:type="dxa"/>
            <w:shd w:val="clear" w:color="auto" w:fill="F4B083" w:themeFill="accent2" w:themeFillTint="99"/>
          </w:tcPr>
          <w:p w14:paraId="6EBB05BB" w14:textId="5800BE35" w:rsidR="00283F93" w:rsidRDefault="00283F93"/>
        </w:tc>
        <w:tc>
          <w:tcPr>
            <w:tcW w:w="4682" w:type="dxa"/>
            <w:shd w:val="clear" w:color="auto" w:fill="F4B083" w:themeFill="accent2" w:themeFillTint="99"/>
          </w:tcPr>
          <w:p w14:paraId="17D7CFA6" w14:textId="70956A07" w:rsidR="00C66D7F" w:rsidRDefault="00CD5E68" w:rsidP="00291702">
            <w:pPr>
              <w:pStyle w:val="ListParagraph"/>
              <w:numPr>
                <w:ilvl w:val="0"/>
                <w:numId w:val="13"/>
              </w:numPr>
            </w:pPr>
            <w:r>
              <w:t>Responding to writing and ensuring progress (MVB) (Preparation for P2 directed task)</w:t>
            </w:r>
          </w:p>
        </w:tc>
      </w:tr>
      <w:tr w:rsidR="00283F93" w14:paraId="251C8E23" w14:textId="77777777" w:rsidTr="00CD5E68">
        <w:tc>
          <w:tcPr>
            <w:tcW w:w="1560" w:type="dxa"/>
            <w:shd w:val="clear" w:color="auto" w:fill="A8D08D" w:themeFill="accent6" w:themeFillTint="99"/>
          </w:tcPr>
          <w:p w14:paraId="0DF86C0E" w14:textId="77777777" w:rsidR="00283F93" w:rsidRDefault="00283F93">
            <w:r>
              <w:t>Phase 3</w:t>
            </w:r>
          </w:p>
        </w:tc>
        <w:tc>
          <w:tcPr>
            <w:tcW w:w="2702" w:type="dxa"/>
            <w:shd w:val="clear" w:color="auto" w:fill="A8D08D" w:themeFill="accent6" w:themeFillTint="99"/>
          </w:tcPr>
          <w:p w14:paraId="0E561155" w14:textId="6C641BB9" w:rsidR="00283F93" w:rsidRDefault="007A1977">
            <w:r>
              <w:t>Wednesday 25</w:t>
            </w:r>
            <w:r w:rsidRPr="007A1977">
              <w:rPr>
                <w:vertAlign w:val="superscript"/>
              </w:rPr>
              <w:t>th</w:t>
            </w:r>
            <w:r>
              <w:t xml:space="preserve"> March</w:t>
            </w:r>
          </w:p>
        </w:tc>
        <w:tc>
          <w:tcPr>
            <w:tcW w:w="1546" w:type="dxa"/>
            <w:shd w:val="clear" w:color="auto" w:fill="A8D08D" w:themeFill="accent6" w:themeFillTint="99"/>
          </w:tcPr>
          <w:p w14:paraId="16E39EDB" w14:textId="787CA4BE" w:rsidR="00283F93" w:rsidRPr="00944166" w:rsidRDefault="00944166">
            <w:pPr>
              <w:rPr>
                <w:color w:val="FF0000"/>
              </w:rPr>
            </w:pPr>
            <w:r>
              <w:rPr>
                <w:color w:val="FF0000"/>
              </w:rPr>
              <w:t>(Asynchronous audits – all)</w:t>
            </w:r>
          </w:p>
        </w:tc>
        <w:tc>
          <w:tcPr>
            <w:tcW w:w="4682" w:type="dxa"/>
            <w:shd w:val="clear" w:color="auto" w:fill="A8D08D" w:themeFill="accent6" w:themeFillTint="99"/>
          </w:tcPr>
          <w:p w14:paraId="3551FB25" w14:textId="571F00B0" w:rsidR="00C66D7F" w:rsidRDefault="00291702" w:rsidP="00291702">
            <w:pPr>
              <w:pStyle w:val="ListParagraph"/>
              <w:numPr>
                <w:ilvl w:val="0"/>
                <w:numId w:val="13"/>
              </w:numPr>
            </w:pPr>
            <w:r>
              <w:t>Reading and writing non-fiction texts</w:t>
            </w:r>
          </w:p>
        </w:tc>
      </w:tr>
      <w:tr w:rsidR="007A1977" w14:paraId="13F4690B" w14:textId="77777777" w:rsidTr="00CD5E68">
        <w:tc>
          <w:tcPr>
            <w:tcW w:w="1560" w:type="dxa"/>
            <w:shd w:val="clear" w:color="auto" w:fill="A8D08D" w:themeFill="accent6" w:themeFillTint="99"/>
          </w:tcPr>
          <w:p w14:paraId="0A5DA288" w14:textId="77777777" w:rsidR="007A1977" w:rsidRDefault="007A1977" w:rsidP="007A1977"/>
        </w:tc>
        <w:tc>
          <w:tcPr>
            <w:tcW w:w="2702" w:type="dxa"/>
            <w:shd w:val="clear" w:color="auto" w:fill="A8D08D" w:themeFill="accent6" w:themeFillTint="99"/>
          </w:tcPr>
          <w:p w14:paraId="4530EA16" w14:textId="6B3B43A5" w:rsidR="007A1977" w:rsidRDefault="007A1977" w:rsidP="007A1977">
            <w:r>
              <w:t>Friday 27</w:t>
            </w:r>
            <w:r w:rsidRPr="007A1977">
              <w:rPr>
                <w:vertAlign w:val="superscript"/>
              </w:rPr>
              <w:t>th</w:t>
            </w:r>
            <w:r>
              <w:t xml:space="preserve"> March</w:t>
            </w:r>
          </w:p>
        </w:tc>
        <w:tc>
          <w:tcPr>
            <w:tcW w:w="1546" w:type="dxa"/>
            <w:shd w:val="clear" w:color="auto" w:fill="A8D08D" w:themeFill="accent6" w:themeFillTint="99"/>
          </w:tcPr>
          <w:p w14:paraId="00912E0E" w14:textId="77777777" w:rsidR="007A1977" w:rsidRDefault="007A1977" w:rsidP="007A1977">
            <w:pPr>
              <w:rPr>
                <w:color w:val="FF0000"/>
              </w:rPr>
            </w:pPr>
          </w:p>
        </w:tc>
        <w:tc>
          <w:tcPr>
            <w:tcW w:w="4682" w:type="dxa"/>
            <w:shd w:val="clear" w:color="auto" w:fill="A8D08D" w:themeFill="accent6" w:themeFillTint="99"/>
          </w:tcPr>
          <w:p w14:paraId="782BDB3B" w14:textId="6C8B1EFE" w:rsidR="007A1977" w:rsidRDefault="00291702" w:rsidP="00291702">
            <w:pPr>
              <w:pStyle w:val="ListParagraph"/>
              <w:numPr>
                <w:ilvl w:val="0"/>
                <w:numId w:val="13"/>
              </w:numPr>
            </w:pPr>
            <w:r w:rsidRPr="00291702">
              <w:t>Assessing writing and moderating judgements (MVB)</w:t>
            </w:r>
            <w:r w:rsidR="007A1977" w:rsidRPr="00291702">
              <w:t xml:space="preserve"> </w:t>
            </w:r>
            <w:r w:rsidR="00102EE6">
              <w:t>P)</w:t>
            </w:r>
          </w:p>
          <w:p w14:paraId="5CA07D51" w14:textId="603B41F4" w:rsidR="007A1977" w:rsidRPr="00102EE6" w:rsidRDefault="00291702" w:rsidP="00102EE6">
            <w:pPr>
              <w:pStyle w:val="ListParagraph"/>
              <w:numPr>
                <w:ilvl w:val="0"/>
                <w:numId w:val="13"/>
              </w:numPr>
            </w:pPr>
            <w:r w:rsidRPr="00102EE6">
              <w:t>The joy of poetry and creativity in the English lesson</w:t>
            </w:r>
          </w:p>
        </w:tc>
      </w:tr>
    </w:tbl>
    <w:p w14:paraId="464B9582" w14:textId="0C1D6C85" w:rsidR="004D44F9" w:rsidRDefault="004D44F9"/>
    <w:sectPr w:rsidR="004D44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D6106"/>
    <w:multiLevelType w:val="hybridMultilevel"/>
    <w:tmpl w:val="A22E5984"/>
    <w:lvl w:ilvl="0" w:tplc="E6FCF0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67EC6"/>
    <w:multiLevelType w:val="hybridMultilevel"/>
    <w:tmpl w:val="4F085D6A"/>
    <w:lvl w:ilvl="0" w:tplc="3E7C7502">
      <w:start w:val="8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65AB9"/>
    <w:multiLevelType w:val="hybridMultilevel"/>
    <w:tmpl w:val="A05A465E"/>
    <w:lvl w:ilvl="0" w:tplc="046CE80C">
      <w:start w:val="9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26369"/>
    <w:multiLevelType w:val="hybridMultilevel"/>
    <w:tmpl w:val="A22E5984"/>
    <w:lvl w:ilvl="0" w:tplc="E6FCF0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75981"/>
    <w:multiLevelType w:val="hybridMultilevel"/>
    <w:tmpl w:val="A05A465E"/>
    <w:lvl w:ilvl="0" w:tplc="046CE80C">
      <w:start w:val="9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902985"/>
    <w:multiLevelType w:val="hybridMultilevel"/>
    <w:tmpl w:val="32DEFC8A"/>
    <w:lvl w:ilvl="0" w:tplc="F230A8BE">
      <w:start w:val="8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2D7C82"/>
    <w:multiLevelType w:val="hybridMultilevel"/>
    <w:tmpl w:val="A22E5984"/>
    <w:lvl w:ilvl="0" w:tplc="E6FCF0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4D252B"/>
    <w:multiLevelType w:val="hybridMultilevel"/>
    <w:tmpl w:val="A05A465E"/>
    <w:lvl w:ilvl="0" w:tplc="046CE80C">
      <w:start w:val="9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557C01"/>
    <w:multiLevelType w:val="hybridMultilevel"/>
    <w:tmpl w:val="A7B09D2E"/>
    <w:lvl w:ilvl="0" w:tplc="DCFC33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8079E0"/>
    <w:multiLevelType w:val="hybridMultilevel"/>
    <w:tmpl w:val="B440A3C2"/>
    <w:lvl w:ilvl="0" w:tplc="4C326B8E">
      <w:start w:val="17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F530DD8"/>
    <w:multiLevelType w:val="hybridMultilevel"/>
    <w:tmpl w:val="BF3CD9C0"/>
    <w:lvl w:ilvl="0" w:tplc="17128C2A">
      <w:start w:val="8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C92A40"/>
    <w:multiLevelType w:val="hybridMultilevel"/>
    <w:tmpl w:val="5A5E5D42"/>
    <w:lvl w:ilvl="0" w:tplc="55D43382">
      <w:start w:val="8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8C19DE"/>
    <w:multiLevelType w:val="hybridMultilevel"/>
    <w:tmpl w:val="9BFCA244"/>
    <w:lvl w:ilvl="0" w:tplc="EED03C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3"/>
  </w:num>
  <w:num w:numId="5">
    <w:abstractNumId w:val="8"/>
  </w:num>
  <w:num w:numId="6">
    <w:abstractNumId w:val="5"/>
  </w:num>
  <w:num w:numId="7">
    <w:abstractNumId w:val="7"/>
  </w:num>
  <w:num w:numId="8">
    <w:abstractNumId w:val="4"/>
  </w:num>
  <w:num w:numId="9">
    <w:abstractNumId w:val="2"/>
  </w:num>
  <w:num w:numId="10">
    <w:abstractNumId w:val="11"/>
  </w:num>
  <w:num w:numId="11">
    <w:abstractNumId w:val="10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4F9"/>
    <w:rsid w:val="00001853"/>
    <w:rsid w:val="00086E40"/>
    <w:rsid w:val="000A7A10"/>
    <w:rsid w:val="000A7ACD"/>
    <w:rsid w:val="000E1BF7"/>
    <w:rsid w:val="000F56A2"/>
    <w:rsid w:val="00102EE6"/>
    <w:rsid w:val="001250CA"/>
    <w:rsid w:val="001778D4"/>
    <w:rsid w:val="00197389"/>
    <w:rsid w:val="002127E9"/>
    <w:rsid w:val="00283F93"/>
    <w:rsid w:val="00291702"/>
    <w:rsid w:val="003A5ACE"/>
    <w:rsid w:val="003B5432"/>
    <w:rsid w:val="003B7889"/>
    <w:rsid w:val="003F3BC7"/>
    <w:rsid w:val="0041385B"/>
    <w:rsid w:val="004C3201"/>
    <w:rsid w:val="004D44F9"/>
    <w:rsid w:val="004E6057"/>
    <w:rsid w:val="005251E7"/>
    <w:rsid w:val="00537096"/>
    <w:rsid w:val="00544CC8"/>
    <w:rsid w:val="00590EB3"/>
    <w:rsid w:val="00615651"/>
    <w:rsid w:val="006577FD"/>
    <w:rsid w:val="00661FBC"/>
    <w:rsid w:val="006A6779"/>
    <w:rsid w:val="006C633F"/>
    <w:rsid w:val="006C66E5"/>
    <w:rsid w:val="006F0D3C"/>
    <w:rsid w:val="00724206"/>
    <w:rsid w:val="007312A7"/>
    <w:rsid w:val="007A1977"/>
    <w:rsid w:val="00824884"/>
    <w:rsid w:val="008349A1"/>
    <w:rsid w:val="00875862"/>
    <w:rsid w:val="008763CF"/>
    <w:rsid w:val="008907BC"/>
    <w:rsid w:val="008E5236"/>
    <w:rsid w:val="008F05EE"/>
    <w:rsid w:val="008F3B02"/>
    <w:rsid w:val="00911DA3"/>
    <w:rsid w:val="00912AEF"/>
    <w:rsid w:val="00931347"/>
    <w:rsid w:val="00944166"/>
    <w:rsid w:val="00966B63"/>
    <w:rsid w:val="00A00D4B"/>
    <w:rsid w:val="00A2710D"/>
    <w:rsid w:val="00A87F06"/>
    <w:rsid w:val="00AF678B"/>
    <w:rsid w:val="00B02E34"/>
    <w:rsid w:val="00B71234"/>
    <w:rsid w:val="00B951A1"/>
    <w:rsid w:val="00BB0852"/>
    <w:rsid w:val="00BB76E9"/>
    <w:rsid w:val="00BE6E8A"/>
    <w:rsid w:val="00C01BF1"/>
    <w:rsid w:val="00C11B95"/>
    <w:rsid w:val="00C266AF"/>
    <w:rsid w:val="00C66D7F"/>
    <w:rsid w:val="00C95083"/>
    <w:rsid w:val="00CD5E68"/>
    <w:rsid w:val="00CE24AE"/>
    <w:rsid w:val="00D03BAD"/>
    <w:rsid w:val="00D268A3"/>
    <w:rsid w:val="00D70F1C"/>
    <w:rsid w:val="00D83D2D"/>
    <w:rsid w:val="00D96D1F"/>
    <w:rsid w:val="00DB72DD"/>
    <w:rsid w:val="00E03076"/>
    <w:rsid w:val="00E72E83"/>
    <w:rsid w:val="00EC51D9"/>
    <w:rsid w:val="00ED2756"/>
    <w:rsid w:val="00EE6104"/>
    <w:rsid w:val="00F9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EDFAE"/>
  <w15:chartTrackingRefBased/>
  <w15:docId w15:val="{93D35C0E-1A32-4676-AC0D-12356D315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4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3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Curtis, Fiona</dc:creator>
  <cp:keywords/>
  <dc:description/>
  <cp:lastModifiedBy>Curtis, Fiona</cp:lastModifiedBy>
  <cp:revision>2</cp:revision>
  <dcterms:created xsi:type="dcterms:W3CDTF">2025-10-17T10:29:00Z</dcterms:created>
  <dcterms:modified xsi:type="dcterms:W3CDTF">2025-10-17T10:29:00Z</dcterms:modified>
</cp:coreProperties>
</file>