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95BC" w14:textId="034CD887" w:rsidR="005E7763" w:rsidRPr="00CD7145" w:rsidRDefault="00123B87" w:rsidP="00123B87">
      <w:pPr>
        <w:pStyle w:val="Heading1"/>
        <w:rPr>
          <w:rFonts w:ascii="Calibri Light" w:hAnsi="Calibri Light" w:cs="Calibri Light"/>
          <w:b/>
          <w:bCs/>
          <w:color w:val="C00000"/>
          <w:lang w:val="en"/>
        </w:rPr>
      </w:pPr>
      <w:r w:rsidRPr="00CD7145">
        <w:rPr>
          <w:rFonts w:ascii="Calibri Light" w:hAnsi="Calibri Light" w:cs="Calibri Light"/>
          <w:noProof/>
          <w:lang w:val="en"/>
        </w:rPr>
        <w:drawing>
          <wp:anchor distT="0" distB="0" distL="114300" distR="114300" simplePos="0" relativeHeight="251658240" behindDoc="1" locked="0" layoutInCell="1" allowOverlap="1" wp14:anchorId="13898556" wp14:editId="3A255F8F">
            <wp:simplePos x="0" y="0"/>
            <wp:positionH relativeFrom="margin">
              <wp:posOffset>5294409</wp:posOffset>
            </wp:positionH>
            <wp:positionV relativeFrom="paragraph">
              <wp:posOffset>-675419</wp:posOffset>
            </wp:positionV>
            <wp:extent cx="1701579" cy="606414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579" cy="606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763" w:rsidRPr="00CD7145">
        <w:rPr>
          <w:rFonts w:ascii="Calibri Light" w:hAnsi="Calibri Light" w:cs="Calibri Light"/>
          <w:b/>
          <w:bCs/>
          <w:color w:val="C00000"/>
          <w:lang w:val="en"/>
        </w:rPr>
        <w:t xml:space="preserve">University of Leicester </w:t>
      </w:r>
      <w:r w:rsidR="00AB444D" w:rsidRPr="00CD7145">
        <w:rPr>
          <w:rFonts w:ascii="Calibri Light" w:hAnsi="Calibri Light" w:cs="Calibri Light"/>
          <w:b/>
          <w:bCs/>
          <w:color w:val="C00000"/>
          <w:lang w:val="en"/>
        </w:rPr>
        <w:t xml:space="preserve">PGCE </w:t>
      </w:r>
      <w:r w:rsidR="005E7763" w:rsidRPr="00CD7145">
        <w:rPr>
          <w:rFonts w:ascii="Calibri Light" w:hAnsi="Calibri Light" w:cs="Calibri Light"/>
          <w:b/>
          <w:bCs/>
          <w:color w:val="C00000"/>
          <w:lang w:val="en"/>
        </w:rPr>
        <w:t xml:space="preserve">Partnership </w:t>
      </w:r>
      <w:r w:rsidR="00ED542D" w:rsidRPr="00CD7145">
        <w:rPr>
          <w:rFonts w:ascii="Calibri Light" w:hAnsi="Calibri Light" w:cs="Calibri Light"/>
          <w:b/>
          <w:bCs/>
          <w:color w:val="C00000"/>
          <w:lang w:val="en"/>
        </w:rPr>
        <w:t>M</w:t>
      </w:r>
      <w:r w:rsidR="005E7763" w:rsidRPr="00CD7145">
        <w:rPr>
          <w:rFonts w:ascii="Calibri Light" w:hAnsi="Calibri Light" w:cs="Calibri Light"/>
          <w:b/>
          <w:bCs/>
          <w:color w:val="C00000"/>
          <w:lang w:val="en"/>
        </w:rPr>
        <w:t xml:space="preserve">anagement Group </w:t>
      </w:r>
      <w:r w:rsidR="00AB444D" w:rsidRPr="00CD7145">
        <w:rPr>
          <w:rFonts w:ascii="Calibri Light" w:hAnsi="Calibri Light" w:cs="Calibri Light"/>
          <w:b/>
          <w:bCs/>
          <w:color w:val="C00000"/>
          <w:lang w:val="en"/>
        </w:rPr>
        <w:t>(PMG)</w:t>
      </w:r>
    </w:p>
    <w:p w14:paraId="730C1899" w14:textId="73045606" w:rsidR="005E7763" w:rsidRPr="00437151" w:rsidRDefault="005E7763" w:rsidP="005E7763">
      <w:pPr>
        <w:pStyle w:val="NormalWeb"/>
        <w:spacing w:before="0" w:beforeAutospacing="0" w:after="0" w:afterAutospacing="0"/>
        <w:rPr>
          <w:rFonts w:ascii="Calibri Light" w:hAnsi="Calibri Light" w:cs="Calibri Light"/>
          <w:lang w:val="en"/>
        </w:rPr>
      </w:pPr>
    </w:p>
    <w:p w14:paraId="7182D8C6" w14:textId="7E4C843C" w:rsidR="00437151" w:rsidRPr="00CD7145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bCs/>
          <w:color w:val="333333"/>
          <w:kern w:val="36"/>
        </w:rPr>
      </w:pPr>
      <w:r w:rsidRPr="00437151">
        <w:rPr>
          <w:rFonts w:ascii="Calibri Light" w:hAnsi="Calibri Light" w:cs="Calibri Light"/>
          <w:b/>
          <w:bCs/>
          <w:color w:val="333333"/>
          <w:kern w:val="36"/>
        </w:rPr>
        <w:t xml:space="preserve">Terms of Reference </w:t>
      </w:r>
    </w:p>
    <w:p w14:paraId="7E78A939" w14:textId="77777777" w:rsidR="00437151" w:rsidRPr="00CD7145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</w:p>
    <w:p w14:paraId="43C3190B" w14:textId="444CB2F5" w:rsidR="00437151" w:rsidRPr="00CD7145" w:rsidRDefault="00437151" w:rsidP="00CD7145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b/>
          <w:bCs/>
          <w:color w:val="333333"/>
          <w:kern w:val="36"/>
        </w:rPr>
        <w:t>Purpos</w:t>
      </w:r>
      <w:r w:rsidRPr="00CD7145">
        <w:rPr>
          <w:rFonts w:ascii="Calibri Light" w:hAnsi="Calibri Light" w:cs="Calibri Light"/>
          <w:b/>
          <w:bCs/>
          <w:color w:val="333333"/>
          <w:kern w:val="36"/>
        </w:rPr>
        <w:t>e</w:t>
      </w:r>
    </w:p>
    <w:p w14:paraId="50BE0D10" w14:textId="77777777" w:rsidR="00437151" w:rsidRPr="00437151" w:rsidRDefault="00437151" w:rsidP="00437151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color w:val="333333"/>
          <w:kern w:val="36"/>
        </w:rPr>
      </w:pPr>
    </w:p>
    <w:p w14:paraId="0ADE85BF" w14:textId="77777777" w:rsidR="00437151" w:rsidRPr="00CD7145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The PMG ensures the University of Leicester’s PGCE programmes—delivered in partnership with schools—remain high-quality, responsive, and aligned with the evolving needs of the Partnership.</w:t>
      </w:r>
    </w:p>
    <w:p w14:paraId="2A3B04D1" w14:textId="77777777" w:rsidR="00437151" w:rsidRPr="00CD7145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</w:p>
    <w:p w14:paraId="4B17B9DA" w14:textId="18804844" w:rsidR="00437151" w:rsidRPr="00CD7145" w:rsidRDefault="00437151" w:rsidP="00CD7145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Calibri Light" w:hAnsi="Calibri Light" w:cs="Calibri Light"/>
          <w:b/>
          <w:bCs/>
          <w:color w:val="333333"/>
          <w:kern w:val="36"/>
        </w:rPr>
      </w:pPr>
      <w:r w:rsidRPr="00CD7145">
        <w:rPr>
          <w:rFonts w:ascii="Calibri Light" w:hAnsi="Calibri Light" w:cs="Calibri Light"/>
          <w:b/>
          <w:bCs/>
          <w:color w:val="333333"/>
          <w:kern w:val="36"/>
        </w:rPr>
        <w:t xml:space="preserve"> </w:t>
      </w:r>
      <w:r w:rsidRPr="00437151">
        <w:rPr>
          <w:rFonts w:ascii="Calibri Light" w:hAnsi="Calibri Light" w:cs="Calibri Light"/>
          <w:b/>
          <w:bCs/>
          <w:color w:val="333333"/>
          <w:kern w:val="36"/>
        </w:rPr>
        <w:t>Remit</w:t>
      </w:r>
    </w:p>
    <w:p w14:paraId="0D6E4D7D" w14:textId="77777777" w:rsidR="00437151" w:rsidRPr="00437151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</w:p>
    <w:p w14:paraId="6841B589" w14:textId="2316903C" w:rsidR="00437151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PMG collaboratively supports and strengthens the PGCE Partnership by:</w:t>
      </w:r>
    </w:p>
    <w:p w14:paraId="33A8192D" w14:textId="77777777" w:rsidR="00CD7145" w:rsidRPr="00437151" w:rsidRDefault="00CD7145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</w:p>
    <w:p w14:paraId="3BDE44B4" w14:textId="77777777" w:rsidR="00437151" w:rsidRPr="00437151" w:rsidRDefault="00437151" w:rsidP="00437151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Shaping and reviewing the annual Partnership Improvement Plan</w:t>
      </w:r>
    </w:p>
    <w:p w14:paraId="58FE7180" w14:textId="77777777" w:rsidR="00437151" w:rsidRPr="00437151" w:rsidRDefault="00437151" w:rsidP="00437151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Monitoring performance and identifying areas for development</w:t>
      </w:r>
    </w:p>
    <w:p w14:paraId="3455199C" w14:textId="77777777" w:rsidR="00437151" w:rsidRPr="00437151" w:rsidRDefault="00437151" w:rsidP="00437151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Sharing best practices across school and university-led teacher education</w:t>
      </w:r>
    </w:p>
    <w:p w14:paraId="3FC454E8" w14:textId="77777777" w:rsidR="00437151" w:rsidRPr="00437151" w:rsidRDefault="00437151" w:rsidP="00437151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Responding to current and future training needs</w:t>
      </w:r>
    </w:p>
    <w:p w14:paraId="3B3579DC" w14:textId="77777777" w:rsidR="00437151" w:rsidRPr="00437151" w:rsidRDefault="00437151" w:rsidP="00437151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Reviewing and advising on PGCE programme reports and proposals</w:t>
      </w:r>
    </w:p>
    <w:p w14:paraId="02B38038" w14:textId="77777777" w:rsidR="00437151" w:rsidRPr="00437151" w:rsidRDefault="00437151" w:rsidP="00437151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Supporting Ofsted readiness and information flow</w:t>
      </w:r>
    </w:p>
    <w:p w14:paraId="1A88FDF8" w14:textId="77777777" w:rsidR="00437151" w:rsidRPr="00CD7145" w:rsidRDefault="00437151" w:rsidP="00437151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Resolving disputes (excluding trainee assessment) via an adjudication panel</w:t>
      </w:r>
    </w:p>
    <w:p w14:paraId="3E3C4294" w14:textId="525BA8A7" w:rsidR="00437151" w:rsidRPr="00CD7145" w:rsidRDefault="00437151" w:rsidP="00C73164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Reviewing these Terms of Reference annually</w:t>
      </w:r>
    </w:p>
    <w:p w14:paraId="40593B58" w14:textId="77777777" w:rsidR="00437151" w:rsidRPr="00CD7145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</w:p>
    <w:p w14:paraId="7A64AD9E" w14:textId="717140C9" w:rsidR="00437151" w:rsidRPr="00CD7145" w:rsidRDefault="00437151" w:rsidP="00CD7145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Calibri Light" w:hAnsi="Calibri Light" w:cs="Calibri Light"/>
          <w:b/>
          <w:bCs/>
          <w:color w:val="333333"/>
          <w:kern w:val="36"/>
        </w:rPr>
      </w:pPr>
      <w:r w:rsidRPr="00CD7145">
        <w:rPr>
          <w:rFonts w:ascii="Calibri Light" w:hAnsi="Calibri Light" w:cs="Calibri Light"/>
          <w:b/>
          <w:bCs/>
          <w:color w:val="333333"/>
          <w:kern w:val="36"/>
        </w:rPr>
        <w:t xml:space="preserve"> </w:t>
      </w:r>
      <w:r w:rsidRPr="00437151">
        <w:rPr>
          <w:rFonts w:ascii="Calibri Light" w:hAnsi="Calibri Light" w:cs="Calibri Light"/>
          <w:b/>
          <w:bCs/>
          <w:color w:val="333333"/>
          <w:kern w:val="36"/>
        </w:rPr>
        <w:t>Membershi</w:t>
      </w:r>
      <w:r w:rsidRPr="00CD7145">
        <w:rPr>
          <w:rFonts w:ascii="Calibri Light" w:hAnsi="Calibri Light" w:cs="Calibri Light"/>
          <w:b/>
          <w:bCs/>
          <w:color w:val="333333"/>
          <w:kern w:val="36"/>
        </w:rPr>
        <w:t>p</w:t>
      </w:r>
    </w:p>
    <w:p w14:paraId="227CD6F2" w14:textId="77777777" w:rsidR="00437151" w:rsidRPr="00437151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</w:p>
    <w:p w14:paraId="03658C26" w14:textId="52DAA2D9" w:rsidR="00437151" w:rsidRPr="00437151" w:rsidRDefault="00437151" w:rsidP="00437151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Senior school leaders from partner schools (including Lead Partners and placement providers)</w:t>
      </w:r>
    </w:p>
    <w:p w14:paraId="69BE4A1F" w14:textId="2A4EB458" w:rsidR="00437151" w:rsidRPr="00CD7145" w:rsidRDefault="00437151" w:rsidP="00437151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University PGCE senior management</w:t>
      </w:r>
    </w:p>
    <w:p w14:paraId="286950D0" w14:textId="77777777" w:rsidR="00437151" w:rsidRPr="00437151" w:rsidRDefault="00437151" w:rsidP="00437151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color w:val="333333"/>
          <w:kern w:val="36"/>
        </w:rPr>
      </w:pPr>
    </w:p>
    <w:p w14:paraId="442E6991" w14:textId="6B4E01EB" w:rsidR="00437151" w:rsidRPr="00CD7145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Partners confirm their participation each autumn and commit to regular attendance. Additional contributors (</w:t>
      </w:r>
      <w:proofErr w:type="gramStart"/>
      <w:r w:rsidRPr="00437151">
        <w:rPr>
          <w:rFonts w:ascii="Calibri Light" w:hAnsi="Calibri Light" w:cs="Calibri Light"/>
          <w:color w:val="333333"/>
          <w:kern w:val="36"/>
        </w:rPr>
        <w:t>e.g.</w:t>
      </w:r>
      <w:proofErr w:type="gramEnd"/>
      <w:r w:rsidRPr="00437151">
        <w:rPr>
          <w:rFonts w:ascii="Calibri Light" w:hAnsi="Calibri Light" w:cs="Calibri Light"/>
          <w:color w:val="333333"/>
          <w:kern w:val="36"/>
        </w:rPr>
        <w:t xml:space="preserve"> early career teachers or university staff) may join meetings as needed.</w:t>
      </w:r>
    </w:p>
    <w:p w14:paraId="2AAC83B7" w14:textId="77777777" w:rsidR="00437151" w:rsidRPr="00437151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</w:p>
    <w:p w14:paraId="4394C581" w14:textId="0FA584C4" w:rsidR="00437151" w:rsidRPr="00CD7145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Meetings are chaired by the Director of Teacher Education, with Primary and Secondary PGCE leads facilitating relevant sections.</w:t>
      </w:r>
    </w:p>
    <w:p w14:paraId="5BE3107E" w14:textId="77777777" w:rsidR="00437151" w:rsidRPr="00437151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bCs/>
          <w:color w:val="333333"/>
          <w:kern w:val="36"/>
        </w:rPr>
      </w:pPr>
    </w:p>
    <w:p w14:paraId="3D69B9EF" w14:textId="1482EA73" w:rsidR="00437151" w:rsidRPr="00CD7145" w:rsidRDefault="00437151" w:rsidP="00CD7145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Calibri Light" w:hAnsi="Calibri Light" w:cs="Calibri Light"/>
          <w:b/>
          <w:bCs/>
          <w:color w:val="333333"/>
          <w:kern w:val="36"/>
        </w:rPr>
      </w:pPr>
      <w:r w:rsidRPr="00437151">
        <w:rPr>
          <w:rFonts w:ascii="Calibri Light" w:hAnsi="Calibri Light" w:cs="Calibri Light"/>
          <w:b/>
          <w:bCs/>
          <w:color w:val="333333"/>
          <w:kern w:val="36"/>
        </w:rPr>
        <w:t>Meetings</w:t>
      </w:r>
    </w:p>
    <w:p w14:paraId="0DD569A3" w14:textId="77777777" w:rsidR="00437151" w:rsidRPr="00437151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</w:p>
    <w:p w14:paraId="1C0ED806" w14:textId="77777777" w:rsidR="00437151" w:rsidRPr="00437151" w:rsidRDefault="00437151" w:rsidP="00437151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Held three times per year (in-person or online)</w:t>
      </w:r>
    </w:p>
    <w:p w14:paraId="00821BA0" w14:textId="77777777" w:rsidR="00437151" w:rsidRPr="00437151" w:rsidRDefault="00437151" w:rsidP="00437151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Agenda requests circulated 5 working days prior; papers shared 3 days before</w:t>
      </w:r>
    </w:p>
    <w:p w14:paraId="1A6A7A81" w14:textId="77777777" w:rsidR="00437151" w:rsidRPr="00437151" w:rsidRDefault="00437151" w:rsidP="00437151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Standing items:</w:t>
      </w:r>
    </w:p>
    <w:p w14:paraId="01EA753E" w14:textId="77777777" w:rsidR="00437151" w:rsidRPr="00437151" w:rsidRDefault="00437151" w:rsidP="00437151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Director of ITE Report</w:t>
      </w:r>
    </w:p>
    <w:p w14:paraId="1AA08A5A" w14:textId="4F4250A1" w:rsidR="00437151" w:rsidRPr="00CD7145" w:rsidRDefault="00437151" w:rsidP="00437151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Partnership Improvement Plan</w:t>
      </w:r>
    </w:p>
    <w:p w14:paraId="3E1C1617" w14:textId="77777777" w:rsidR="00437151" w:rsidRPr="00437151" w:rsidRDefault="00437151" w:rsidP="00437151">
      <w:pPr>
        <w:pStyle w:val="NormalWeb"/>
        <w:spacing w:before="0" w:beforeAutospacing="0" w:after="0" w:afterAutospacing="0"/>
        <w:ind w:left="1440"/>
        <w:rPr>
          <w:rFonts w:ascii="Calibri Light" w:hAnsi="Calibri Light" w:cs="Calibri Light"/>
          <w:color w:val="333333"/>
          <w:kern w:val="36"/>
        </w:rPr>
      </w:pPr>
    </w:p>
    <w:p w14:paraId="1BE87115" w14:textId="77777777" w:rsidR="00437151" w:rsidRPr="00437151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Meeting papers must clearly state:</w:t>
      </w:r>
    </w:p>
    <w:p w14:paraId="3F470550" w14:textId="77777777" w:rsidR="00437151" w:rsidRPr="00437151" w:rsidRDefault="00437151" w:rsidP="00437151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Agenda item</w:t>
      </w:r>
    </w:p>
    <w:p w14:paraId="22A3A59E" w14:textId="77777777" w:rsidR="00437151" w:rsidRPr="00437151" w:rsidRDefault="00437151" w:rsidP="00437151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Purpose</w:t>
      </w:r>
    </w:p>
    <w:p w14:paraId="7B156E92" w14:textId="77777777" w:rsidR="00437151" w:rsidRPr="00437151" w:rsidRDefault="00437151" w:rsidP="00437151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Requested action (</w:t>
      </w:r>
      <w:proofErr w:type="gramStart"/>
      <w:r w:rsidRPr="00437151">
        <w:rPr>
          <w:rFonts w:ascii="Calibri Light" w:hAnsi="Calibri Light" w:cs="Calibri Light"/>
          <w:color w:val="333333"/>
          <w:kern w:val="36"/>
        </w:rPr>
        <w:t>e.g.</w:t>
      </w:r>
      <w:proofErr w:type="gramEnd"/>
      <w:r w:rsidRPr="00437151">
        <w:rPr>
          <w:rFonts w:ascii="Calibri Light" w:hAnsi="Calibri Light" w:cs="Calibri Light"/>
          <w:color w:val="333333"/>
          <w:kern w:val="36"/>
        </w:rPr>
        <w:t xml:space="preserve"> feedback, decision)</w:t>
      </w:r>
    </w:p>
    <w:p w14:paraId="003FBE85" w14:textId="568855E2" w:rsidR="00437151" w:rsidRPr="00CD7145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Confidential papers must be marked and not shared beyond PMG. Minutes are circulated within 4 weeks and published on Blackboard once approved.</w:t>
      </w:r>
    </w:p>
    <w:p w14:paraId="47539DA9" w14:textId="77777777" w:rsidR="00437151" w:rsidRPr="00437151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</w:p>
    <w:p w14:paraId="287CA1F3" w14:textId="30FCA1F1" w:rsidR="00437151" w:rsidRPr="00CD7145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Quorum: At least two university reps (including Chair) and two school reps.</w:t>
      </w:r>
    </w:p>
    <w:p w14:paraId="66DD712A" w14:textId="77777777" w:rsidR="00437151" w:rsidRPr="00437151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</w:p>
    <w:p w14:paraId="505DB282" w14:textId="67AFEE6E" w:rsidR="00437151" w:rsidRPr="00CD7145" w:rsidRDefault="00437151" w:rsidP="00CD7145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Calibri Light" w:hAnsi="Calibri Light" w:cs="Calibri Light"/>
          <w:b/>
          <w:bCs/>
          <w:color w:val="333333"/>
          <w:kern w:val="36"/>
        </w:rPr>
      </w:pPr>
      <w:r w:rsidRPr="00437151">
        <w:rPr>
          <w:rFonts w:ascii="Calibri Light" w:hAnsi="Calibri Light" w:cs="Calibri Light"/>
          <w:b/>
          <w:bCs/>
          <w:color w:val="333333"/>
          <w:kern w:val="36"/>
        </w:rPr>
        <w:t>Confidentiality</w:t>
      </w:r>
    </w:p>
    <w:p w14:paraId="02849E36" w14:textId="77777777" w:rsidR="00437151" w:rsidRPr="00437151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</w:p>
    <w:p w14:paraId="5D6AFA17" w14:textId="34B63D15" w:rsidR="00437151" w:rsidRPr="00437151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Confidential items (</w:t>
      </w:r>
      <w:proofErr w:type="gramStart"/>
      <w:r w:rsidRPr="00437151">
        <w:rPr>
          <w:rFonts w:ascii="Calibri Light" w:hAnsi="Calibri Light" w:cs="Calibri Light"/>
          <w:color w:val="333333"/>
          <w:kern w:val="36"/>
        </w:rPr>
        <w:t>e.g.</w:t>
      </w:r>
      <w:proofErr w:type="gramEnd"/>
      <w:r w:rsidRPr="00437151">
        <w:rPr>
          <w:rFonts w:ascii="Calibri Light" w:hAnsi="Calibri Light" w:cs="Calibri Light"/>
          <w:color w:val="333333"/>
          <w:kern w:val="36"/>
        </w:rPr>
        <w:t xml:space="preserve"> performance data, financial matters) are flagged by the Chair and must remain within PMG. Highly sensitive discussions may be recorded separately and shared only in hard copy at future meetings.</w:t>
      </w:r>
    </w:p>
    <w:p w14:paraId="36706379" w14:textId="599D2A25" w:rsidR="00437151" w:rsidRPr="00437151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bCs/>
          <w:color w:val="333333"/>
          <w:kern w:val="36"/>
        </w:rPr>
      </w:pPr>
    </w:p>
    <w:p w14:paraId="766D8498" w14:textId="6E75A318" w:rsidR="00437151" w:rsidRPr="00CD7145" w:rsidRDefault="00437151" w:rsidP="00CD7145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Calibri Light" w:hAnsi="Calibri Light" w:cs="Calibri Light"/>
          <w:b/>
          <w:bCs/>
          <w:color w:val="333333"/>
          <w:kern w:val="36"/>
        </w:rPr>
      </w:pPr>
      <w:r w:rsidRPr="00437151">
        <w:rPr>
          <w:rFonts w:ascii="Calibri Light" w:hAnsi="Calibri Light" w:cs="Calibri Light"/>
          <w:b/>
          <w:bCs/>
          <w:color w:val="333333"/>
          <w:kern w:val="36"/>
        </w:rPr>
        <w:t>Decision-Making</w:t>
      </w:r>
    </w:p>
    <w:p w14:paraId="400A163A" w14:textId="77777777" w:rsidR="00437151" w:rsidRPr="00437151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</w:p>
    <w:p w14:paraId="6284A05F" w14:textId="77777777" w:rsidR="00437151" w:rsidRPr="00437151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PMG may approve or ratify decisions affecting:</w:t>
      </w:r>
    </w:p>
    <w:p w14:paraId="15093EBF" w14:textId="77777777" w:rsidR="00437151" w:rsidRPr="00437151" w:rsidRDefault="00437151" w:rsidP="00437151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The Partnership Agreement</w:t>
      </w:r>
    </w:p>
    <w:p w14:paraId="1EB8DDE3" w14:textId="5E0389CF" w:rsidR="00437151" w:rsidRPr="00CD7145" w:rsidRDefault="00437151" w:rsidP="00437151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PGCE delivery processes</w:t>
      </w:r>
    </w:p>
    <w:p w14:paraId="48CAA2C4" w14:textId="77777777" w:rsidR="00437151" w:rsidRPr="00437151" w:rsidRDefault="00437151" w:rsidP="00437151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color w:val="333333"/>
          <w:kern w:val="36"/>
        </w:rPr>
      </w:pPr>
    </w:p>
    <w:p w14:paraId="3524FF4B" w14:textId="087D795C" w:rsidR="00437151" w:rsidRDefault="00437151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 w:rsidRPr="00437151">
        <w:rPr>
          <w:rFonts w:ascii="Calibri Light" w:hAnsi="Calibri Light" w:cs="Calibri Light"/>
          <w:color w:val="333333"/>
          <w:kern w:val="36"/>
        </w:rPr>
        <w:t>If consensus cannot be reached, matters may be escalated to the Head of the School of Education via the Chair</w:t>
      </w:r>
    </w:p>
    <w:p w14:paraId="50A573B2" w14:textId="7654531F" w:rsidR="002C6BD5" w:rsidRDefault="002C6BD5" w:rsidP="00437151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</w:p>
    <w:p w14:paraId="2473A626" w14:textId="03B9CEDC" w:rsidR="002C6BD5" w:rsidRDefault="002C6BD5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</w:p>
    <w:p w14:paraId="0A41733D" w14:textId="00740AFB" w:rsidR="002C6BD5" w:rsidRPr="00437151" w:rsidRDefault="002C6BD5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333333"/>
          <w:kern w:val="36"/>
        </w:rPr>
      </w:pPr>
      <w:r>
        <w:rPr>
          <w:rFonts w:ascii="Calibri Light" w:hAnsi="Calibri Light" w:cs="Calibri Light"/>
          <w:color w:val="333333"/>
          <w:kern w:val="36"/>
        </w:rPr>
        <w:t xml:space="preserve">Reviewed: September 2025 </w:t>
      </w:r>
    </w:p>
    <w:p w14:paraId="6E8DB24C" w14:textId="1C2624F5" w:rsidR="00894572" w:rsidRPr="00437151" w:rsidRDefault="00894572" w:rsidP="00437151">
      <w:pPr>
        <w:pStyle w:val="NormalWeb"/>
        <w:spacing w:before="0" w:beforeAutospacing="0" w:after="0" w:afterAutospacing="0"/>
        <w:rPr>
          <w:rFonts w:ascii="Calibri Light" w:hAnsi="Calibri Light" w:cs="Calibri Light"/>
          <w:lang w:val="en"/>
        </w:rPr>
      </w:pPr>
    </w:p>
    <w:sectPr w:rsidR="00894572" w:rsidRPr="00437151" w:rsidSect="00123B8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614F5" w14:textId="77777777" w:rsidR="00ED4B88" w:rsidRDefault="00ED4B88" w:rsidP="00D4531B">
      <w:pPr>
        <w:spacing w:after="0" w:line="240" w:lineRule="auto"/>
      </w:pPr>
      <w:r>
        <w:separator/>
      </w:r>
    </w:p>
  </w:endnote>
  <w:endnote w:type="continuationSeparator" w:id="0">
    <w:p w14:paraId="46B669E2" w14:textId="77777777" w:rsidR="00ED4B88" w:rsidRDefault="00ED4B88" w:rsidP="00D4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F387" w14:textId="7CA3DE72" w:rsidR="00A16392" w:rsidRPr="00A16392" w:rsidRDefault="00A16392">
    <w:pPr>
      <w:pStyle w:val="Footer"/>
      <w:rPr>
        <w:rFonts w:asciiTheme="majorHAnsi" w:hAnsiTheme="majorHAnsi" w:cstheme="majorHAnsi"/>
        <w:sz w:val="20"/>
        <w:szCs w:val="20"/>
      </w:rPr>
    </w:pPr>
    <w:r w:rsidRPr="00A16392">
      <w:rPr>
        <w:rFonts w:asciiTheme="majorHAnsi" w:hAnsiTheme="majorHAnsi" w:cstheme="majorHAnsi"/>
        <w:sz w:val="20"/>
        <w:szCs w:val="20"/>
      </w:rPr>
      <w:t xml:space="preserve">University of Leicester PMG Terms of Reference </w:t>
    </w:r>
  </w:p>
  <w:p w14:paraId="03B34039" w14:textId="77777777" w:rsidR="00A16392" w:rsidRDefault="00A16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D9F6" w14:textId="77777777" w:rsidR="00ED4B88" w:rsidRDefault="00ED4B88" w:rsidP="00D4531B">
      <w:pPr>
        <w:spacing w:after="0" w:line="240" w:lineRule="auto"/>
      </w:pPr>
      <w:r>
        <w:separator/>
      </w:r>
    </w:p>
  </w:footnote>
  <w:footnote w:type="continuationSeparator" w:id="0">
    <w:p w14:paraId="2681F74D" w14:textId="77777777" w:rsidR="00ED4B88" w:rsidRDefault="00ED4B88" w:rsidP="00D45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78D9" w14:textId="43A7878D" w:rsidR="00D3743A" w:rsidRPr="00D3743A" w:rsidRDefault="00D3743A" w:rsidP="00D3743A">
    <w:pPr>
      <w:pStyle w:val="Header"/>
      <w:jc w:val="right"/>
      <w:rPr>
        <w:rFonts w:ascii="Segoe UI" w:hAnsi="Segoe UI" w:cs="Segoe UI"/>
        <w:sz w:val="18"/>
        <w:szCs w:val="18"/>
      </w:rPr>
    </w:pPr>
  </w:p>
  <w:p w14:paraId="24DD019D" w14:textId="77777777" w:rsidR="00D3743A" w:rsidRDefault="00D374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37F4"/>
    <w:multiLevelType w:val="multilevel"/>
    <w:tmpl w:val="8988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B65AB"/>
    <w:multiLevelType w:val="multilevel"/>
    <w:tmpl w:val="4B38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D0A38"/>
    <w:multiLevelType w:val="hybridMultilevel"/>
    <w:tmpl w:val="ED14C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4C5B"/>
    <w:multiLevelType w:val="multilevel"/>
    <w:tmpl w:val="12C8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C0212"/>
    <w:multiLevelType w:val="hybridMultilevel"/>
    <w:tmpl w:val="52085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708FB"/>
    <w:multiLevelType w:val="multilevel"/>
    <w:tmpl w:val="8714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00F4A"/>
    <w:multiLevelType w:val="hybridMultilevel"/>
    <w:tmpl w:val="2466B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1222"/>
    <w:multiLevelType w:val="multilevel"/>
    <w:tmpl w:val="AD08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95C7C"/>
    <w:multiLevelType w:val="hybridMultilevel"/>
    <w:tmpl w:val="B0CE5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22A8D"/>
    <w:multiLevelType w:val="hybridMultilevel"/>
    <w:tmpl w:val="F034BE48"/>
    <w:lvl w:ilvl="0" w:tplc="4DFAF8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C025A"/>
    <w:multiLevelType w:val="hybridMultilevel"/>
    <w:tmpl w:val="E6001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13550"/>
    <w:multiLevelType w:val="hybridMultilevel"/>
    <w:tmpl w:val="34F04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62C64"/>
    <w:multiLevelType w:val="multilevel"/>
    <w:tmpl w:val="545A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A5BDB"/>
    <w:multiLevelType w:val="hybridMultilevel"/>
    <w:tmpl w:val="4F08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43290"/>
    <w:multiLevelType w:val="multilevel"/>
    <w:tmpl w:val="037E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79675A"/>
    <w:multiLevelType w:val="hybridMultilevel"/>
    <w:tmpl w:val="64663546"/>
    <w:lvl w:ilvl="0" w:tplc="1122BA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4341F"/>
    <w:multiLevelType w:val="multilevel"/>
    <w:tmpl w:val="B38A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B56CF0"/>
    <w:multiLevelType w:val="hybridMultilevel"/>
    <w:tmpl w:val="FC7E3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F03F0"/>
    <w:multiLevelType w:val="multilevel"/>
    <w:tmpl w:val="6D3E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4C6615"/>
    <w:multiLevelType w:val="multilevel"/>
    <w:tmpl w:val="0C92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3"/>
  </w:num>
  <w:num w:numId="5">
    <w:abstractNumId w:val="0"/>
  </w:num>
  <w:num w:numId="6">
    <w:abstractNumId w:val="11"/>
  </w:num>
  <w:num w:numId="7">
    <w:abstractNumId w:val="17"/>
  </w:num>
  <w:num w:numId="8">
    <w:abstractNumId w:val="13"/>
  </w:num>
  <w:num w:numId="9">
    <w:abstractNumId w:val="4"/>
  </w:num>
  <w:num w:numId="10">
    <w:abstractNumId w:val="10"/>
  </w:num>
  <w:num w:numId="11">
    <w:abstractNumId w:val="8"/>
  </w:num>
  <w:num w:numId="12">
    <w:abstractNumId w:val="9"/>
  </w:num>
  <w:num w:numId="13">
    <w:abstractNumId w:val="1"/>
  </w:num>
  <w:num w:numId="14">
    <w:abstractNumId w:val="16"/>
  </w:num>
  <w:num w:numId="15">
    <w:abstractNumId w:val="7"/>
  </w:num>
  <w:num w:numId="16">
    <w:abstractNumId w:val="5"/>
  </w:num>
  <w:num w:numId="17">
    <w:abstractNumId w:val="19"/>
  </w:num>
  <w:num w:numId="18">
    <w:abstractNumId w:val="6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763"/>
    <w:rsid w:val="00066BA4"/>
    <w:rsid w:val="00080B76"/>
    <w:rsid w:val="000B6D1F"/>
    <w:rsid w:val="000D484F"/>
    <w:rsid w:val="00123B87"/>
    <w:rsid w:val="00163744"/>
    <w:rsid w:val="00262EE2"/>
    <w:rsid w:val="00280203"/>
    <w:rsid w:val="002A6F39"/>
    <w:rsid w:val="002C6BD5"/>
    <w:rsid w:val="00346173"/>
    <w:rsid w:val="0036584E"/>
    <w:rsid w:val="003B13FF"/>
    <w:rsid w:val="00422271"/>
    <w:rsid w:val="00437151"/>
    <w:rsid w:val="004868B6"/>
    <w:rsid w:val="00495CA6"/>
    <w:rsid w:val="004B3213"/>
    <w:rsid w:val="0053672A"/>
    <w:rsid w:val="005B4FB0"/>
    <w:rsid w:val="005E7763"/>
    <w:rsid w:val="00657E3F"/>
    <w:rsid w:val="00692F53"/>
    <w:rsid w:val="006954EB"/>
    <w:rsid w:val="006A1A81"/>
    <w:rsid w:val="006D75DD"/>
    <w:rsid w:val="00894572"/>
    <w:rsid w:val="0090164C"/>
    <w:rsid w:val="0090205C"/>
    <w:rsid w:val="00964E1A"/>
    <w:rsid w:val="009847A0"/>
    <w:rsid w:val="00A16392"/>
    <w:rsid w:val="00A9020D"/>
    <w:rsid w:val="00AB0D66"/>
    <w:rsid w:val="00AB444D"/>
    <w:rsid w:val="00B222C9"/>
    <w:rsid w:val="00B2574B"/>
    <w:rsid w:val="00B96A2B"/>
    <w:rsid w:val="00BD081D"/>
    <w:rsid w:val="00C17859"/>
    <w:rsid w:val="00C40A23"/>
    <w:rsid w:val="00C461EE"/>
    <w:rsid w:val="00CD7145"/>
    <w:rsid w:val="00D3743A"/>
    <w:rsid w:val="00D4531B"/>
    <w:rsid w:val="00DA6832"/>
    <w:rsid w:val="00DE33E2"/>
    <w:rsid w:val="00E07F32"/>
    <w:rsid w:val="00E12E76"/>
    <w:rsid w:val="00E321BE"/>
    <w:rsid w:val="00E47FCB"/>
    <w:rsid w:val="00E51C92"/>
    <w:rsid w:val="00E80022"/>
    <w:rsid w:val="00ED4B88"/>
    <w:rsid w:val="00ED542D"/>
    <w:rsid w:val="00F00267"/>
    <w:rsid w:val="00FA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00932"/>
  <w15:chartTrackingRefBased/>
  <w15:docId w15:val="{F2B65D85-5495-48CB-8159-13F43FDA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B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1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1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016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31B"/>
  </w:style>
  <w:style w:type="paragraph" w:styleId="Footer">
    <w:name w:val="footer"/>
    <w:basedOn w:val="Normal"/>
    <w:link w:val="FooterChar"/>
    <w:uiPriority w:val="99"/>
    <w:unhideWhenUsed/>
    <w:rsid w:val="00D45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31B"/>
  </w:style>
  <w:style w:type="paragraph" w:styleId="ListParagraph">
    <w:name w:val="List Paragraph"/>
    <w:basedOn w:val="Normal"/>
    <w:uiPriority w:val="34"/>
    <w:qFormat/>
    <w:rsid w:val="00BD081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BD08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23B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1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1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7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3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2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0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9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7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3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20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0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7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7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Kelliher, Susanne T.</dc:creator>
  <cp:keywords/>
  <dc:description/>
  <cp:lastModifiedBy>Bosworth, Jenny</cp:lastModifiedBy>
  <cp:revision>2</cp:revision>
  <dcterms:created xsi:type="dcterms:W3CDTF">2025-09-22T08:55:00Z</dcterms:created>
  <dcterms:modified xsi:type="dcterms:W3CDTF">2025-09-22T08:55:00Z</dcterms:modified>
</cp:coreProperties>
</file>